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4" w:rsidRDefault="00291123" w:rsidP="00D33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123">
        <w:rPr>
          <w:rFonts w:ascii="Times New Roman" w:hAnsi="Times New Roman" w:cs="Times New Roman"/>
          <w:sz w:val="24"/>
          <w:szCs w:val="24"/>
        </w:rPr>
        <w:t xml:space="preserve">Studijní opory pro předmět </w:t>
      </w:r>
      <w:r w:rsidRPr="00291123">
        <w:rPr>
          <w:rFonts w:ascii="Times New Roman" w:hAnsi="Times New Roman" w:cs="Times New Roman"/>
          <w:b/>
          <w:sz w:val="24"/>
          <w:szCs w:val="24"/>
        </w:rPr>
        <w:t>Etologie hospodářských zvířat</w:t>
      </w:r>
      <w:r w:rsidRPr="00291123">
        <w:rPr>
          <w:rFonts w:ascii="Times New Roman" w:hAnsi="Times New Roman" w:cs="Times New Roman"/>
          <w:sz w:val="24"/>
          <w:szCs w:val="24"/>
        </w:rPr>
        <w:t xml:space="preserve"> – bakalářské studium oboru Zootechnika</w:t>
      </w:r>
    </w:p>
    <w:p w:rsidR="00D330F4" w:rsidRPr="00291123" w:rsidRDefault="00D330F4" w:rsidP="00D33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123" w:rsidRPr="00291123" w:rsidRDefault="00291123" w:rsidP="002911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123">
        <w:rPr>
          <w:rFonts w:ascii="Times New Roman" w:hAnsi="Times New Roman" w:cs="Times New Roman"/>
          <w:sz w:val="24"/>
          <w:szCs w:val="24"/>
        </w:rPr>
        <w:t>U kombinovaného studia oboru Zootechnika je rozsah přímé výuky dán způsobem studia a zahrnuje 12 hod konzultací za semestr.</w:t>
      </w:r>
    </w:p>
    <w:p w:rsidR="002807A2" w:rsidRDefault="00291123" w:rsidP="002911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123">
        <w:rPr>
          <w:rFonts w:ascii="Times New Roman" w:hAnsi="Times New Roman" w:cs="Times New Roman"/>
          <w:sz w:val="24"/>
          <w:szCs w:val="24"/>
        </w:rPr>
        <w:t xml:space="preserve">Tak jako u všech předmětů, tak i u Etologie hospodářských zvířat, je pro studenty k dispozici náplň předmětu s přesným uvedením jednotlivých témat přednášek a cvičení pro studenty řádného studia podle náplně výuky v jednotlivých týdnech semestru. </w:t>
      </w:r>
    </w:p>
    <w:p w:rsidR="00291123" w:rsidRDefault="008E28BA" w:rsidP="002911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dispozici</w:t>
      </w:r>
      <w:r w:rsidR="00040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studenty jsou odkazy na základní </w:t>
      </w:r>
      <w:r w:rsidR="002807A2">
        <w:rPr>
          <w:rFonts w:ascii="Times New Roman" w:hAnsi="Times New Roman" w:cs="Times New Roman"/>
          <w:sz w:val="24"/>
          <w:szCs w:val="24"/>
        </w:rPr>
        <w:t xml:space="preserve">(on line skripta Voříšková a kol.: Etologie hospodářských zvířat) </w:t>
      </w:r>
      <w:r>
        <w:rPr>
          <w:rFonts w:ascii="Times New Roman" w:hAnsi="Times New Roman" w:cs="Times New Roman"/>
          <w:sz w:val="24"/>
          <w:szCs w:val="24"/>
        </w:rPr>
        <w:t>a doporučenou studijní literaturu</w:t>
      </w:r>
      <w:r w:rsidR="002807A2">
        <w:rPr>
          <w:rFonts w:ascii="Times New Roman" w:hAnsi="Times New Roman" w:cs="Times New Roman"/>
          <w:sz w:val="24"/>
          <w:szCs w:val="24"/>
        </w:rPr>
        <w:t xml:space="preserve"> (Veselovský a kol: Biologie chování zvířat; </w:t>
      </w:r>
      <w:proofErr w:type="spellStart"/>
      <w:r w:rsidR="002807A2">
        <w:rPr>
          <w:rFonts w:ascii="Times New Roman" w:hAnsi="Times New Roman" w:cs="Times New Roman"/>
          <w:sz w:val="24"/>
          <w:szCs w:val="24"/>
        </w:rPr>
        <w:t>Webster</w:t>
      </w:r>
      <w:proofErr w:type="spellEnd"/>
      <w:r w:rsidR="002807A2">
        <w:rPr>
          <w:rFonts w:ascii="Times New Roman" w:hAnsi="Times New Roman" w:cs="Times New Roman"/>
          <w:sz w:val="24"/>
          <w:szCs w:val="24"/>
        </w:rPr>
        <w:t xml:space="preserve">: Životní pohoda zvířat; </w:t>
      </w:r>
      <w:proofErr w:type="spellStart"/>
      <w:r w:rsidR="002807A2">
        <w:rPr>
          <w:rFonts w:ascii="Times New Roman" w:hAnsi="Times New Roman" w:cs="Times New Roman"/>
          <w:sz w:val="24"/>
          <w:szCs w:val="24"/>
        </w:rPr>
        <w:t>Hulsen</w:t>
      </w:r>
      <w:proofErr w:type="spellEnd"/>
      <w:r w:rsidR="002807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07A2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="0028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A2">
        <w:rPr>
          <w:rFonts w:ascii="Times New Roman" w:hAnsi="Times New Roman" w:cs="Times New Roman"/>
          <w:sz w:val="24"/>
          <w:szCs w:val="24"/>
        </w:rPr>
        <w:t>Signals</w:t>
      </w:r>
      <w:proofErr w:type="spellEnd"/>
      <w:r w:rsidR="002807A2">
        <w:rPr>
          <w:rFonts w:ascii="Times New Roman" w:hAnsi="Times New Roman" w:cs="Times New Roman"/>
          <w:sz w:val="24"/>
          <w:szCs w:val="24"/>
        </w:rPr>
        <w:t>, aj. dostupné v akademické knihovně). K</w:t>
      </w:r>
      <w:r>
        <w:rPr>
          <w:rFonts w:ascii="Times New Roman" w:hAnsi="Times New Roman" w:cs="Times New Roman"/>
          <w:sz w:val="24"/>
          <w:szCs w:val="24"/>
        </w:rPr>
        <w:t xml:space="preserve">romě </w:t>
      </w:r>
      <w:r w:rsidR="002807A2">
        <w:rPr>
          <w:rFonts w:ascii="Times New Roman" w:hAnsi="Times New Roman" w:cs="Times New Roman"/>
          <w:sz w:val="24"/>
          <w:szCs w:val="24"/>
        </w:rPr>
        <w:t xml:space="preserve">zmíněného </w:t>
      </w:r>
      <w:r>
        <w:rPr>
          <w:rFonts w:ascii="Times New Roman" w:hAnsi="Times New Roman" w:cs="Times New Roman"/>
          <w:sz w:val="24"/>
          <w:szCs w:val="24"/>
        </w:rPr>
        <w:t xml:space="preserve">dostávají náročnější témata písemnou formou. </w:t>
      </w:r>
    </w:p>
    <w:p w:rsidR="00F04CD4" w:rsidRDefault="00291123" w:rsidP="002911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mají za úkol v průběhu semestru provést vlastní sledování chování vybraných druhů hospodářských zvířat (etologický výzkum). Základem je vytvoření </w:t>
      </w:r>
      <w:r w:rsidR="00F04CD4">
        <w:rPr>
          <w:rFonts w:ascii="Times New Roman" w:hAnsi="Times New Roman" w:cs="Times New Roman"/>
          <w:sz w:val="24"/>
          <w:szCs w:val="24"/>
        </w:rPr>
        <w:t xml:space="preserve">vlastního </w:t>
      </w:r>
      <w:r>
        <w:rPr>
          <w:rFonts w:ascii="Times New Roman" w:hAnsi="Times New Roman" w:cs="Times New Roman"/>
          <w:sz w:val="24"/>
          <w:szCs w:val="24"/>
        </w:rPr>
        <w:t>etogramu, tzn. formulář</w:t>
      </w:r>
      <w:r w:rsidR="00F04C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 zapisování jednotlivých kategorií chování</w:t>
      </w:r>
      <w:r w:rsidR="00F04CD4">
        <w:rPr>
          <w:rFonts w:ascii="Times New Roman" w:hAnsi="Times New Roman" w:cs="Times New Roman"/>
          <w:sz w:val="24"/>
          <w:szCs w:val="24"/>
        </w:rPr>
        <w:t xml:space="preserve">. Dále zpracování získaných podkladových dat do tabulek a grafů. Výsledné okomentování, porovnání s citacemi autorů a vymezení kladů a záporů chovného prostředí sledovaných zvířat. </w:t>
      </w:r>
      <w:r w:rsidR="008E28BA">
        <w:rPr>
          <w:rFonts w:ascii="Times New Roman" w:hAnsi="Times New Roman" w:cs="Times New Roman"/>
          <w:sz w:val="24"/>
          <w:szCs w:val="24"/>
        </w:rPr>
        <w:t xml:space="preserve">Tato forma výuky rozšiřuje praktické dovednosti s možností využití ve vlastních chovech zvířat pro posouzení jejich </w:t>
      </w:r>
      <w:r w:rsidR="00D86A0D">
        <w:rPr>
          <w:rFonts w:ascii="Times New Roman" w:hAnsi="Times New Roman" w:cs="Times New Roman"/>
          <w:sz w:val="24"/>
          <w:szCs w:val="24"/>
        </w:rPr>
        <w:t>pohody (</w:t>
      </w:r>
      <w:proofErr w:type="spellStart"/>
      <w:r w:rsidR="00D86A0D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D86A0D">
        <w:rPr>
          <w:rFonts w:ascii="Times New Roman" w:hAnsi="Times New Roman" w:cs="Times New Roman"/>
          <w:sz w:val="24"/>
          <w:szCs w:val="24"/>
        </w:rPr>
        <w:t xml:space="preserve"> chovu)</w:t>
      </w:r>
      <w:r w:rsidR="00246FEC">
        <w:rPr>
          <w:rFonts w:ascii="Times New Roman" w:hAnsi="Times New Roman" w:cs="Times New Roman"/>
          <w:sz w:val="24"/>
          <w:szCs w:val="24"/>
        </w:rPr>
        <w:t xml:space="preserve"> a vhodnosti prostředí pro stávající druh, počet zvířat.</w:t>
      </w:r>
      <w:r w:rsidR="00D8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CD4" w:rsidRDefault="00F04CD4" w:rsidP="002911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Témata pro etologický výzkum: studenti si volí podle svých možností</w:t>
      </w:r>
      <w:r w:rsidR="00246FEC">
        <w:rPr>
          <w:rFonts w:ascii="Times New Roman" w:hAnsi="Times New Roman" w:cs="Times New Roman"/>
          <w:sz w:val="24"/>
          <w:szCs w:val="24"/>
        </w:rPr>
        <w:t>:</w:t>
      </w:r>
    </w:p>
    <w:p w:rsidR="00F04CD4" w:rsidRDefault="00F04CD4" w:rsidP="00F04C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chování skotu (stáj, pastva)</w:t>
      </w:r>
    </w:p>
    <w:p w:rsidR="00F04CD4" w:rsidRDefault="00F04CD4" w:rsidP="00F04C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chování kura domácího (slepice, kachny, perličky)</w:t>
      </w:r>
    </w:p>
    <w:p w:rsidR="00F04CD4" w:rsidRDefault="00F04CD4" w:rsidP="00F04C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Sledování chování ovcí </w:t>
      </w:r>
    </w:p>
    <w:p w:rsidR="00F04CD4" w:rsidRDefault="00F04CD4" w:rsidP="00F04C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chování koz</w:t>
      </w:r>
    </w:p>
    <w:p w:rsidR="00F04CD4" w:rsidRDefault="00F04CD4" w:rsidP="00F04C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chování koní</w:t>
      </w:r>
    </w:p>
    <w:p w:rsidR="00F04CD4" w:rsidRDefault="00F04CD4" w:rsidP="00F04C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chování prasat</w:t>
      </w:r>
    </w:p>
    <w:p w:rsidR="00F04CD4" w:rsidRDefault="00F04CD4" w:rsidP="002807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témat je široká a rozšiřuje se o možnosti volby sledování různého počtu zvířat, jednotlivých kategorií zvířat</w:t>
      </w:r>
      <w:r w:rsidR="00040E34">
        <w:rPr>
          <w:rFonts w:ascii="Times New Roman" w:hAnsi="Times New Roman" w:cs="Times New Roman"/>
          <w:sz w:val="24"/>
          <w:szCs w:val="24"/>
        </w:rPr>
        <w:t xml:space="preserve">, prostředí při sledování (stáj, pastvina, výběh) a také možnostmi volby jednotlivých projevů chování (základní kategorie, frekvenční kategorie, mateřské chování, sexuální chování, sociální chování, atd.). </w:t>
      </w:r>
    </w:p>
    <w:p w:rsidR="00E01CDD" w:rsidRDefault="00E01CDD" w:rsidP="002807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etologie zvířat, a to jak na základní tak i aplikovanou, je výzkumně zaměřeno oddělení </w:t>
      </w:r>
      <w:r w:rsidR="008D76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tologie Výzkumného ústavu živočišné výroby v Praze Uhříněvsi (</w:t>
      </w:r>
      <w:hyperlink r:id="rId6" w:history="1">
        <w:r w:rsidRPr="00E8171E">
          <w:rPr>
            <w:rStyle w:val="Hypertextovodkaz"/>
            <w:rFonts w:ascii="Times New Roman" w:hAnsi="Times New Roman" w:cs="Times New Roman"/>
            <w:sz w:val="24"/>
            <w:szCs w:val="24"/>
          </w:rPr>
          <w:t>https://vuzv.cz/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724DE6">
        <w:rPr>
          <w:rFonts w:ascii="Times New Roman" w:hAnsi="Times New Roman" w:cs="Times New Roman"/>
          <w:sz w:val="24"/>
          <w:szCs w:val="24"/>
        </w:rPr>
        <w:t xml:space="preserve">, </w:t>
      </w:r>
      <w:r w:rsidR="00D86A0D">
        <w:rPr>
          <w:rFonts w:ascii="Times New Roman" w:hAnsi="Times New Roman" w:cs="Times New Roman"/>
          <w:sz w:val="24"/>
          <w:szCs w:val="24"/>
        </w:rPr>
        <w:t xml:space="preserve">na jejichž stránkách </w:t>
      </w:r>
      <w:r w:rsidR="00724DE6">
        <w:rPr>
          <w:rFonts w:ascii="Times New Roman" w:hAnsi="Times New Roman" w:cs="Times New Roman"/>
          <w:sz w:val="24"/>
          <w:szCs w:val="24"/>
        </w:rPr>
        <w:t>lze získat základní informace, aktuality, publikace týkající se širokého spektra problematiky etologie</w:t>
      </w:r>
      <w:r w:rsidR="00D86A0D">
        <w:rPr>
          <w:rFonts w:ascii="Times New Roman" w:hAnsi="Times New Roman" w:cs="Times New Roman"/>
          <w:sz w:val="24"/>
          <w:szCs w:val="24"/>
        </w:rPr>
        <w:t xml:space="preserve"> hospodářských zvířat</w:t>
      </w:r>
      <w:r w:rsidR="00724DE6">
        <w:rPr>
          <w:rFonts w:ascii="Times New Roman" w:hAnsi="Times New Roman" w:cs="Times New Roman"/>
          <w:sz w:val="24"/>
          <w:szCs w:val="24"/>
        </w:rPr>
        <w:t xml:space="preserve">. Kromě toho </w:t>
      </w:r>
      <w:r w:rsidR="00D86A0D">
        <w:rPr>
          <w:rFonts w:ascii="Times New Roman" w:hAnsi="Times New Roman" w:cs="Times New Roman"/>
          <w:sz w:val="24"/>
          <w:szCs w:val="24"/>
        </w:rPr>
        <w:t>ústav nabízí i kvalifikované poradenství</w:t>
      </w:r>
      <w:r w:rsidR="002807A2">
        <w:rPr>
          <w:rFonts w:ascii="Times New Roman" w:hAnsi="Times New Roman" w:cs="Times New Roman"/>
          <w:sz w:val="24"/>
          <w:szCs w:val="24"/>
        </w:rPr>
        <w:t xml:space="preserve"> týkající se vytváření vhodného prostředí pro jednotlivé druhy zvířat s ohledem na jejich přirozené potřeby. </w:t>
      </w:r>
    </w:p>
    <w:p w:rsidR="00CB3716" w:rsidRDefault="00CB3716" w:rsidP="002807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Nezbytnou součástí předmětu je seznámení se se zákonem na ochranu zvířat proti týrání </w:t>
      </w:r>
      <w:hyperlink r:id="rId7" w:history="1">
        <w:r w:rsidRPr="00E8171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https://www.zakonyprolidi.cz/cs/1992-246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platném znění. </w:t>
      </w:r>
    </w:p>
    <w:p w:rsidR="00246FEC" w:rsidRDefault="00246FEC" w:rsidP="00246FE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FEC" w:rsidRPr="00616A16" w:rsidRDefault="00246FEC" w:rsidP="00246FEC">
      <w:pPr>
        <w:rPr>
          <w:rFonts w:ascii="Times New Roman" w:hAnsi="Times New Roman" w:cs="Times New Roman"/>
          <w:sz w:val="24"/>
          <w:szCs w:val="24"/>
        </w:rPr>
      </w:pPr>
      <w:r w:rsidRPr="00616A16">
        <w:rPr>
          <w:rFonts w:ascii="Times New Roman" w:hAnsi="Times New Roman" w:cs="Times New Roman"/>
          <w:bCs/>
          <w:sz w:val="24"/>
          <w:szCs w:val="24"/>
        </w:rPr>
        <w:t>ZÁKON č. 246/1992 Sb. NA OCHRANU ZVÍŘAT PROTI TÝRÁNÍ</w:t>
      </w:r>
      <w:r w:rsidRPr="00616A16">
        <w:rPr>
          <w:rFonts w:ascii="Times New Roman" w:hAnsi="Times New Roman" w:cs="Times New Roman"/>
          <w:bCs/>
          <w:sz w:val="24"/>
          <w:szCs w:val="24"/>
        </w:rPr>
        <w:br/>
        <w:t>(ve znění pozdějších předpisů – 359/2012)</w:t>
      </w:r>
    </w:p>
    <w:p w:rsidR="00183FC0" w:rsidRPr="00246FEC" w:rsidRDefault="00616A16" w:rsidP="00246FEC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I. část</w:t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Obecná ustanovení</w:t>
      </w:r>
    </w:p>
    <w:p w:rsidR="00183FC0" w:rsidRPr="00246FEC" w:rsidRDefault="00616A16" w:rsidP="00246FEC">
      <w:pPr>
        <w:ind w:left="2124" w:hanging="14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II. část</w:t>
      </w:r>
      <w:r w:rsid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Ochrana zvířat při usmrcování, použití znecitlivění </w:t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ochrana zvířat při veřejných vystoupeních</w:t>
      </w:r>
    </w:p>
    <w:p w:rsidR="00183FC0" w:rsidRPr="00246FEC" w:rsidRDefault="00616A16" w:rsidP="00246FEC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III. část</w:t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Ochrana zvířat při přepravě</w:t>
      </w:r>
    </w:p>
    <w:p w:rsidR="00183FC0" w:rsidRPr="00246FEC" w:rsidRDefault="00616A16" w:rsidP="00246FEC">
      <w:pPr>
        <w:ind w:left="2124" w:hanging="14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IV. část </w:t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Ochrana hospodářských zvířat,</w:t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zvířat v zájmových chovech a volně žijících zvířat</w:t>
      </w:r>
    </w:p>
    <w:p w:rsidR="00183FC0" w:rsidRPr="00246FEC" w:rsidRDefault="00616A16" w:rsidP="00246FEC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V. část</w:t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Ochrana pokusných zvířat </w:t>
      </w:r>
    </w:p>
    <w:p w:rsidR="00183FC0" w:rsidRPr="00246FEC" w:rsidRDefault="00616A16" w:rsidP="00246FEC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VI. část</w:t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Orgány ochrany zvířat</w:t>
      </w:r>
    </w:p>
    <w:p w:rsidR="00183FC0" w:rsidRPr="00246FEC" w:rsidRDefault="00616A16" w:rsidP="00246FEC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VII. část </w:t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Správní delikty a přestupky</w:t>
      </w:r>
    </w:p>
    <w:p w:rsidR="00183FC0" w:rsidRDefault="00616A16" w:rsidP="00246FEC">
      <w:pPr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VIII. část</w:t>
      </w:r>
      <w:r w:rsidRPr="0024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Závěrečná ustanovení</w:t>
      </w:r>
    </w:p>
    <w:p w:rsidR="00246FEC" w:rsidRDefault="00246FEC" w:rsidP="00246FE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Studenti mají za povinnost si prostudovat zejména ty části zákona, které jsou podtržené, protože se bezprostředně týkají studované problematiky. </w:t>
      </w:r>
      <w:r w:rsidR="00616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potřebné vědět a znát, jakým způsobem a komu se podávají oznámení o týrání zvířat:</w:t>
      </w:r>
    </w:p>
    <w:p w:rsidR="00616A16" w:rsidRPr="00616A16" w:rsidRDefault="00616A16" w:rsidP="00616A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Způsob oznámení o týrání zvířat</w:t>
      </w:r>
    </w:p>
    <w:p w:rsidR="00183FC0" w:rsidRPr="00616A16" w:rsidRDefault="00616A16" w:rsidP="00616A16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16">
        <w:rPr>
          <w:rFonts w:ascii="Times New Roman" w:hAnsi="Times New Roman" w:cs="Times New Roman"/>
          <w:color w:val="000000" w:themeColor="text1"/>
          <w:sz w:val="24"/>
          <w:szCs w:val="24"/>
        </w:rPr>
        <w:t>písemně, osobní oznámení</w:t>
      </w:r>
    </w:p>
    <w:p w:rsidR="00183FC0" w:rsidRPr="00616A16" w:rsidRDefault="00616A16" w:rsidP="00616A16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příslušnému obecnímu úřadu,</w:t>
      </w:r>
    </w:p>
    <w:p w:rsidR="00183FC0" w:rsidRPr="00616A16" w:rsidRDefault="00616A16" w:rsidP="00616A16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krajské veterinární správě </w:t>
      </w:r>
    </w:p>
    <w:p w:rsidR="00183FC0" w:rsidRPr="00616A16" w:rsidRDefault="00616A16" w:rsidP="00616A16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policii ČR,</w:t>
      </w:r>
    </w:p>
    <w:p w:rsidR="00183FC0" w:rsidRPr="00616A16" w:rsidRDefault="00616A16" w:rsidP="00616A16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státnímu zastupitelství.</w:t>
      </w:r>
    </w:p>
    <w:p w:rsidR="00616A16" w:rsidRDefault="00616A16" w:rsidP="002807A2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30" w:rsidRDefault="00912C30" w:rsidP="002807A2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stránkách </w:t>
      </w:r>
      <w:proofErr w:type="spellStart"/>
      <w:r w:rsidRPr="00912C30">
        <w:rPr>
          <w:rFonts w:ascii="Times New Roman" w:hAnsi="Times New Roman" w:cs="Times New Roman"/>
          <w:color w:val="000000" w:themeColor="text1"/>
          <w:sz w:val="24"/>
          <w:szCs w:val="24"/>
        </w:rPr>
        <w:t>eAGRI</w:t>
      </w:r>
      <w:proofErr w:type="spellEnd"/>
      <w:r w:rsidRPr="0091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k dispozici portál zabývající se ochranou zvířat </w:t>
      </w:r>
      <w:hyperlink r:id="rId8" w:history="1">
        <w:r w:rsidRPr="00CC48F3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http://eagri.cz/public/web/mze/ochrana-zvirat/</w:t>
        </w:r>
      </w:hyperlink>
      <w:r w:rsidRPr="00912C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2C30">
        <w:rPr>
          <w:rFonts w:ascii="Times New Roman" w:hAnsi="Times New Roman" w:cs="Times New Roman"/>
          <w:color w:val="000000" w:themeColor="text1"/>
          <w:sz w:val="24"/>
          <w:szCs w:val="24"/>
        </w:rPr>
        <w:t>kde je:</w:t>
      </w:r>
    </w:p>
    <w:p w:rsidR="00912C30" w:rsidRDefault="00912C30" w:rsidP="00912C3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C30">
        <w:rPr>
          <w:rFonts w:ascii="Times New Roman" w:hAnsi="Times New Roman" w:cs="Times New Roman"/>
          <w:color w:val="000000" w:themeColor="text1"/>
          <w:sz w:val="24"/>
          <w:szCs w:val="24"/>
        </w:rPr>
        <w:t>Systém ochrany zvířat v</w:t>
      </w:r>
      <w:r w:rsidR="005D56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12C30">
        <w:rPr>
          <w:rFonts w:ascii="Times New Roman" w:hAnsi="Times New Roman" w:cs="Times New Roman"/>
          <w:color w:val="000000" w:themeColor="text1"/>
          <w:sz w:val="24"/>
          <w:szCs w:val="24"/>
        </w:rPr>
        <w:t>ČR</w:t>
      </w:r>
    </w:p>
    <w:p w:rsidR="005D56B3" w:rsidRDefault="005D56B3" w:rsidP="005D56B3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Oddělení ochrany zvířat</w:t>
      </w:r>
    </w:p>
    <w:p w:rsidR="005D56B3" w:rsidRDefault="005D56B3" w:rsidP="005D56B3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Ústřední komise na ochranu zvířat</w:t>
      </w:r>
    </w:p>
    <w:p w:rsidR="005D56B3" w:rsidRDefault="005D56B3" w:rsidP="005D56B3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Výbor pro ochranu zvířat používaných pro vědecké účely</w:t>
      </w:r>
    </w:p>
    <w:p w:rsidR="00912C30" w:rsidRDefault="00912C30" w:rsidP="00912C3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Aktuální témata v ochraně zvířat</w:t>
      </w:r>
    </w:p>
    <w:p w:rsidR="00912C30" w:rsidRDefault="00912C30" w:rsidP="00912C3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Výsledky kontrol ochrany zvířat</w:t>
      </w:r>
    </w:p>
    <w:p w:rsidR="00912C30" w:rsidRDefault="00912C30" w:rsidP="00912C3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Legislativa</w:t>
      </w:r>
    </w:p>
    <w:p w:rsidR="00912C30" w:rsidRDefault="00912C30" w:rsidP="00912C3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Publikace a dokumenty</w:t>
      </w:r>
    </w:p>
    <w:p w:rsidR="00FC6EEA" w:rsidRDefault="00FC6EEA" w:rsidP="005D56B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Leták ochrany zvířat </w:t>
      </w:r>
      <w:hyperlink r:id="rId9" w:history="1">
        <w:r w:rsidRPr="00CC48F3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http://eagri.cz/public/web/file/1911/LetakOZ_1306opraveno_dle_NOZ.pdf</w:t>
        </w:r>
      </w:hyperlink>
    </w:p>
    <w:p w:rsidR="00FC6EEA" w:rsidRDefault="00FC6EEA" w:rsidP="00FC6E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Příručky ve vztahu k ochraně zvířat</w:t>
      </w:r>
    </w:p>
    <w:p w:rsidR="00FC6EEA" w:rsidRDefault="003B3AFE" w:rsidP="005D56B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FC6EEA" w:rsidRPr="00CC48F3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http://eagri.cz/public/web/mze/ochrana-zvirat/publikace-a-dokumenty/prirucky-1/prirucky.html</w:t>
        </w:r>
      </w:hyperlink>
    </w:p>
    <w:p w:rsidR="00FC6EEA" w:rsidRDefault="00FC6EEA" w:rsidP="00FC6E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Metodika kontroly zdraví zvířat </w:t>
      </w:r>
    </w:p>
    <w:p w:rsidR="00FC6EEA" w:rsidRPr="00912C30" w:rsidRDefault="003B3AFE" w:rsidP="00054C75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FC6EEA">
          <w:rPr>
            <w:rStyle w:val="Hypertextovodkaz"/>
          </w:rPr>
          <w:t xml:space="preserve">Dokument </w:t>
        </w:r>
        <w:proofErr w:type="gramStart"/>
        <w:r w:rsidR="00FC6EEA">
          <w:rPr>
            <w:rStyle w:val="Hypertextovodkaz"/>
          </w:rPr>
          <w:t>č.j.</w:t>
        </w:r>
        <w:proofErr w:type="gramEnd"/>
        <w:r w:rsidR="00FC6EEA">
          <w:rPr>
            <w:rStyle w:val="Hypertextovodkaz"/>
          </w:rPr>
          <w:t>: 67435/2018-MZE-17212</w:t>
        </w:r>
      </w:hyperlink>
      <w:r w:rsidR="00FC6EEA">
        <w:t xml:space="preserve"> </w:t>
      </w:r>
      <w:r w:rsidR="00FC6EEA">
        <w:rPr>
          <w:noProof/>
          <w:color w:val="0000FF"/>
          <w:lang w:eastAsia="cs-CZ"/>
        </w:rPr>
        <w:drawing>
          <wp:inline distT="0" distB="0" distL="0" distR="0" wp14:anchorId="007C41CE" wp14:editId="39F5202D">
            <wp:extent cx="152400" cy="152400"/>
            <wp:effectExtent l="0" t="0" r="0" b="0"/>
            <wp:docPr id="1" name="Obrázek 1" descr="https://www.svscr.cz/wp-content/plugins/wp-downloadmanager/images/ext/pdf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vscr.cz/wp-content/plugins/wp-downloadmanager/images/ext/pdf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EA">
        <w:t>(679,0 KB)</w:t>
      </w:r>
    </w:p>
    <w:p w:rsidR="00912C30" w:rsidRPr="00F04CD4" w:rsidRDefault="00912C30" w:rsidP="002807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40E34" w:rsidRDefault="00040E34" w:rsidP="002807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Podklady pro rozšíření informací o studované problematice v předmětu Etologie hospodářských zvířat jsou dostupné na následujících odkazech: </w:t>
      </w:r>
    </w:p>
    <w:p w:rsidR="00E01CDD" w:rsidRDefault="003B3AFE" w:rsidP="00040E3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01CDD" w:rsidRPr="00E817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http://www.cschms.cz/</w:t>
        </w:r>
      </w:hyperlink>
    </w:p>
    <w:p w:rsidR="00E01CDD" w:rsidRDefault="003B3AFE" w:rsidP="00040E3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01CDD" w:rsidRPr="00E8171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https://www.cmsch.cz</w:t>
        </w:r>
      </w:hyperlink>
    </w:p>
    <w:p w:rsidR="00E01CDD" w:rsidRDefault="003B3AFE" w:rsidP="00040E34">
      <w:pPr>
        <w:jc w:val="both"/>
      </w:pPr>
      <w:hyperlink r:id="rId15" w:history="1">
        <w:r w:rsidR="00E01CDD" w:rsidRPr="00E8171E">
          <w:rPr>
            <w:rStyle w:val="Hypertextovodkaz"/>
          </w:rPr>
          <w:t>http://www.cschdz.eu</w:t>
        </w:r>
      </w:hyperlink>
    </w:p>
    <w:p w:rsidR="00E01CDD" w:rsidRDefault="003B3AFE" w:rsidP="00040E34">
      <w:pPr>
        <w:jc w:val="both"/>
      </w:pPr>
      <w:hyperlink r:id="rId16" w:history="1">
        <w:r w:rsidR="00E01CDD" w:rsidRPr="00E8171E">
          <w:rPr>
            <w:rStyle w:val="Hypertextovodkaz"/>
          </w:rPr>
          <w:t>www.schok.cz</w:t>
        </w:r>
      </w:hyperlink>
    </w:p>
    <w:p w:rsidR="00E01CDD" w:rsidRDefault="003B3AFE" w:rsidP="00040E34">
      <w:pPr>
        <w:jc w:val="both"/>
      </w:pPr>
      <w:hyperlink r:id="rId17" w:history="1">
        <w:r w:rsidR="00E01CDD" w:rsidRPr="00E8171E">
          <w:rPr>
            <w:rStyle w:val="Hypertextovodkaz"/>
          </w:rPr>
          <w:t>www.schpcm.cz</w:t>
        </w:r>
      </w:hyperlink>
    </w:p>
    <w:p w:rsidR="00E01CDD" w:rsidRDefault="003B3AFE" w:rsidP="00040E34">
      <w:pPr>
        <w:jc w:val="both"/>
      </w:pPr>
      <w:hyperlink r:id="rId18" w:history="1">
        <w:r w:rsidR="00E01CDD" w:rsidRPr="00E8171E">
          <w:rPr>
            <w:rStyle w:val="Hypertextovodkaz"/>
          </w:rPr>
          <w:t>http://www.aschk.cz/</w:t>
        </w:r>
      </w:hyperlink>
    </w:p>
    <w:p w:rsidR="00E01CDD" w:rsidRDefault="003B3AFE" w:rsidP="00040E34">
      <w:pPr>
        <w:jc w:val="both"/>
      </w:pPr>
      <w:hyperlink r:id="rId19" w:history="1">
        <w:r w:rsidR="00E01CDD" w:rsidRPr="00E8171E">
          <w:rPr>
            <w:rStyle w:val="Hypertextovodkaz"/>
          </w:rPr>
          <w:t>https://vuzv.cz/</w:t>
        </w:r>
      </w:hyperlink>
    </w:p>
    <w:p w:rsidR="002807A2" w:rsidRDefault="003B3AFE" w:rsidP="00040E34">
      <w:pPr>
        <w:jc w:val="both"/>
        <w:rPr>
          <w:rStyle w:val="Hypertextovodkaz"/>
          <w:rFonts w:eastAsia="Times New Roman"/>
        </w:rPr>
      </w:pPr>
      <w:hyperlink r:id="rId20" w:history="1">
        <w:r w:rsidR="002807A2" w:rsidRPr="00E8171E">
          <w:rPr>
            <w:rStyle w:val="Hypertextovodkaz"/>
            <w:rFonts w:eastAsia="Times New Roman"/>
          </w:rPr>
          <w:t>https://www.zakonyprolidi.cz/cs/1992-246</w:t>
        </w:r>
      </w:hyperlink>
    </w:p>
    <w:p w:rsidR="00912C30" w:rsidRDefault="003B3AFE" w:rsidP="00040E34">
      <w:pPr>
        <w:jc w:val="both"/>
        <w:rPr>
          <w:rFonts w:eastAsia="Times New Roman"/>
        </w:rPr>
      </w:pPr>
      <w:hyperlink r:id="rId21" w:history="1">
        <w:r w:rsidR="00912C30" w:rsidRPr="00CC48F3">
          <w:rPr>
            <w:rStyle w:val="Hypertextovodkaz"/>
            <w:rFonts w:eastAsia="Times New Roman"/>
          </w:rPr>
          <w:t>http://eagri.cz</w:t>
        </w:r>
      </w:hyperlink>
    </w:p>
    <w:p w:rsidR="00912C30" w:rsidRDefault="003B3AFE" w:rsidP="00040E34">
      <w:pPr>
        <w:jc w:val="both"/>
        <w:rPr>
          <w:rFonts w:eastAsia="Times New Roman"/>
        </w:rPr>
      </w:pPr>
      <w:hyperlink r:id="rId22" w:history="1">
        <w:r w:rsidR="00912C30" w:rsidRPr="00CC48F3">
          <w:rPr>
            <w:rStyle w:val="Hypertextovodkaz"/>
            <w:rFonts w:eastAsia="Times New Roman"/>
          </w:rPr>
          <w:t>https://www.svscr.cz/</w:t>
        </w:r>
      </w:hyperlink>
    </w:p>
    <w:p w:rsidR="00912C30" w:rsidRDefault="005D56B3" w:rsidP="005D56B3">
      <w:pPr>
        <w:rPr>
          <w:rFonts w:eastAsia="Times New Roman"/>
        </w:rPr>
      </w:pPr>
      <w:r>
        <w:rPr>
          <w:rStyle w:val="Siln"/>
        </w:rPr>
        <w:t xml:space="preserve">Zásady </w:t>
      </w:r>
      <w:proofErr w:type="spellStart"/>
      <w:r>
        <w:rPr>
          <w:rStyle w:val="Siln"/>
        </w:rPr>
        <w:t>welfare</w:t>
      </w:r>
      <w:proofErr w:type="spellEnd"/>
      <w:r>
        <w:rPr>
          <w:rStyle w:val="Siln"/>
        </w:rPr>
        <w:t xml:space="preserve"> v chovech prasat</w:t>
      </w:r>
      <w:r>
        <w:br/>
      </w:r>
      <w:proofErr w:type="spellStart"/>
      <w:r>
        <w:t>Goby</w:t>
      </w:r>
      <w:proofErr w:type="spellEnd"/>
      <w:r>
        <w:t xml:space="preserve">, J. a kol., 2000, příručku najdete na stránkách </w:t>
      </w:r>
      <w:hyperlink r:id="rId23" w:tooltip="Otevírá se do nového okna." w:history="1">
        <w:r>
          <w:rPr>
            <w:noProof/>
            <w:color w:val="0000FF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2" name="Obrázek 2" descr="Otevírá se do nového okna.">
                <a:hlinkClick xmlns:a="http://schemas.openxmlformats.org/drawingml/2006/main" r:id="rId23" tooltip="&quot;Otevírá se do nového okna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tevírá se do nového okna.">
                        <a:hlinkClick r:id="rId23" tooltip="&quot;Otevírá se do nového okna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textovodkaz"/>
          </w:rPr>
          <w:t> Svazu chovatelů prasat</w:t>
        </w:r>
      </w:hyperlink>
      <w:r>
        <w:t>, 2000</w:t>
      </w:r>
      <w:r w:rsidR="003B3AFE">
        <w:t xml:space="preserve"> nebo ve vyhledavači </w:t>
      </w:r>
    </w:p>
    <w:p w:rsidR="00291123" w:rsidRPr="00291123" w:rsidRDefault="00040E34" w:rsidP="00040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  <w:bookmarkStart w:id="0" w:name="_GoBack"/>
      <w:bookmarkEnd w:id="0"/>
    </w:p>
    <w:sectPr w:rsidR="00291123" w:rsidRPr="0029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1E2"/>
    <w:multiLevelType w:val="hybridMultilevel"/>
    <w:tmpl w:val="5D3E8A34"/>
    <w:lvl w:ilvl="0" w:tplc="88CEE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ED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636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A0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425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A4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49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E8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C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E663F1"/>
    <w:multiLevelType w:val="hybridMultilevel"/>
    <w:tmpl w:val="DB6A2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C6825"/>
    <w:multiLevelType w:val="hybridMultilevel"/>
    <w:tmpl w:val="222C6B40"/>
    <w:lvl w:ilvl="0" w:tplc="D77E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05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E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6C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26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6B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1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A1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E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9D2CA0"/>
    <w:multiLevelType w:val="hybridMultilevel"/>
    <w:tmpl w:val="537ADB32"/>
    <w:lvl w:ilvl="0" w:tplc="085C3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32B33"/>
    <w:multiLevelType w:val="hybridMultilevel"/>
    <w:tmpl w:val="BB0413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B446A"/>
    <w:multiLevelType w:val="hybridMultilevel"/>
    <w:tmpl w:val="B514355C"/>
    <w:lvl w:ilvl="0" w:tplc="990A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E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ED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C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E1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C0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29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4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0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922F34"/>
    <w:multiLevelType w:val="hybridMultilevel"/>
    <w:tmpl w:val="C422F636"/>
    <w:lvl w:ilvl="0" w:tplc="CA269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3"/>
    <w:rsid w:val="00040E34"/>
    <w:rsid w:val="00054C75"/>
    <w:rsid w:val="00183FC0"/>
    <w:rsid w:val="00246FEC"/>
    <w:rsid w:val="002807A2"/>
    <w:rsid w:val="00291123"/>
    <w:rsid w:val="003B3AFE"/>
    <w:rsid w:val="005D56B3"/>
    <w:rsid w:val="00616A16"/>
    <w:rsid w:val="00724DE6"/>
    <w:rsid w:val="008D29D1"/>
    <w:rsid w:val="008D76AC"/>
    <w:rsid w:val="008E28BA"/>
    <w:rsid w:val="00912C30"/>
    <w:rsid w:val="00CB3716"/>
    <w:rsid w:val="00D330F4"/>
    <w:rsid w:val="00D40824"/>
    <w:rsid w:val="00D86A0D"/>
    <w:rsid w:val="00E01CDD"/>
    <w:rsid w:val="00F04CD4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C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0E3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07A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EE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D5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C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0E3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07A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EE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D5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web/mze/ochrana-zvirat/" TargetMode="External"/><Relationship Id="rId13" Type="http://schemas.openxmlformats.org/officeDocument/2006/relationships/hyperlink" Target="http://www.cschms.cz/" TargetMode="External"/><Relationship Id="rId18" Type="http://schemas.openxmlformats.org/officeDocument/2006/relationships/hyperlink" Target="http://www.aschk.cz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agri.cz" TargetMode="External"/><Relationship Id="rId7" Type="http://schemas.openxmlformats.org/officeDocument/2006/relationships/hyperlink" Target="https://www.zakonyprolidi.cz/cs/1992-246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www.schpcm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k.cz" TargetMode="External"/><Relationship Id="rId20" Type="http://schemas.openxmlformats.org/officeDocument/2006/relationships/hyperlink" Target="https://www.zakonyprolidi.cz/cs/1992-2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uzv.cz/" TargetMode="External"/><Relationship Id="rId11" Type="http://schemas.openxmlformats.org/officeDocument/2006/relationships/hyperlink" Target="http://www.svscr.cz/download/dokumenty-a-publikace/Dokument-67435-2018-MZE-17212.pdf" TargetMode="External"/><Relationship Id="rId24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www.cschdz.eu" TargetMode="External"/><Relationship Id="rId23" Type="http://schemas.openxmlformats.org/officeDocument/2006/relationships/hyperlink" Target="http://www.schpcm.cz/" TargetMode="External"/><Relationship Id="rId10" Type="http://schemas.openxmlformats.org/officeDocument/2006/relationships/hyperlink" Target="http://eagri.cz/public/web/mze/ochrana-zvirat/publikace-a-dokumenty/prirucky-1/prirucky.html" TargetMode="External"/><Relationship Id="rId19" Type="http://schemas.openxmlformats.org/officeDocument/2006/relationships/hyperlink" Target="https://vuzv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gri.cz/public/web/file/1911/LetakOZ_1306opraveno_dle_NOZ.pdf" TargetMode="External"/><Relationship Id="rId14" Type="http://schemas.openxmlformats.org/officeDocument/2006/relationships/hyperlink" Target="https://www.cmsch.cz" TargetMode="External"/><Relationship Id="rId22" Type="http://schemas.openxmlformats.org/officeDocument/2006/relationships/hyperlink" Target="https://www.svsc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vorisk</dc:creator>
  <cp:lastModifiedBy>vorisk</cp:lastModifiedBy>
  <cp:revision>10</cp:revision>
  <dcterms:created xsi:type="dcterms:W3CDTF">2019-05-03T08:21:00Z</dcterms:created>
  <dcterms:modified xsi:type="dcterms:W3CDTF">2019-05-07T07:23:00Z</dcterms:modified>
</cp:coreProperties>
</file>